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D25" w:rsidRPr="00C94D25" w:rsidRDefault="00C94D25" w:rsidP="00C94D25">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GCQF"/>
      <w:bookmarkStart w:id="1" w:name="_GoBack"/>
      <w:bookmarkEnd w:id="1"/>
    </w:p>
    <w:bookmarkEnd w:id="0"/>
    <w:p w:rsidR="00C94D25" w:rsidRPr="00C94D25" w:rsidRDefault="00C94D25" w:rsidP="00C94D25">
      <w:pPr>
        <w:spacing w:before="180" w:after="180" w:line="240" w:lineRule="auto"/>
        <w:jc w:val="center"/>
        <w:outlineLvl w:val="1"/>
        <w:rPr>
          <w:rFonts w:ascii="Helvetica" w:eastAsia="Times New Roman" w:hAnsi="Helvetica" w:cs="Helvetica"/>
          <w:b/>
          <w:bCs/>
          <w:color w:val="000000"/>
          <w:sz w:val="24"/>
          <w:szCs w:val="24"/>
        </w:rPr>
      </w:pPr>
      <w:r w:rsidRPr="00C94D25">
        <w:rPr>
          <w:rFonts w:ascii="Helvetica" w:eastAsia="Times New Roman" w:hAnsi="Helvetica" w:cs="Helvetica"/>
          <w:b/>
          <w:bCs/>
          <w:color w:val="000000"/>
          <w:sz w:val="24"/>
          <w:szCs w:val="24"/>
        </w:rPr>
        <w:t>Discipline, Suspension and Dismissal of Professional Staff</w:t>
      </w:r>
    </w:p>
    <w:p w:rsidR="00C94D25" w:rsidRPr="00C94D25" w:rsidRDefault="00C94D25" w:rsidP="00C94D25">
      <w:pPr>
        <w:spacing w:before="100" w:beforeAutospacing="1" w:after="180" w:line="240" w:lineRule="auto"/>
        <w:jc w:val="center"/>
        <w:rPr>
          <w:rFonts w:ascii="Arial" w:eastAsia="Times New Roman" w:hAnsi="Arial" w:cs="Arial"/>
          <w:sz w:val="24"/>
          <w:szCs w:val="24"/>
        </w:rPr>
      </w:pPr>
      <w:r w:rsidRPr="00C94D25">
        <w:rPr>
          <w:rFonts w:ascii="Arial" w:eastAsia="Times New Roman" w:hAnsi="Arial" w:cs="Arial"/>
          <w:sz w:val="24"/>
          <w:szCs w:val="24"/>
        </w:rPr>
        <w:t>(And Contract Nonrenewal)</w:t>
      </w:r>
    </w:p>
    <w:p w:rsidR="00C94D25" w:rsidRPr="00C94D25" w:rsidRDefault="00C94D25" w:rsidP="00C94D25">
      <w:pPr>
        <w:spacing w:before="100" w:beforeAutospacing="1" w:after="180" w:line="240" w:lineRule="auto"/>
        <w:rPr>
          <w:rFonts w:ascii="Arial" w:eastAsia="Times New Roman" w:hAnsi="Arial" w:cs="Arial"/>
          <w:sz w:val="24"/>
          <w:szCs w:val="24"/>
        </w:rPr>
      </w:pPr>
      <w:r w:rsidRPr="00C94D25">
        <w:rPr>
          <w:rFonts w:ascii="Arial" w:eastAsia="Times New Roman" w:hAnsi="Arial" w:cs="Arial"/>
          <w:sz w:val="24"/>
          <w:szCs w:val="24"/>
        </w:rPr>
        <w:t>The Board of Education shall follow procedures established by law for the suspension and dismissal of teachers.</w:t>
      </w:r>
    </w:p>
    <w:p w:rsidR="00C94D25" w:rsidRPr="00C94D25" w:rsidRDefault="00C94D25" w:rsidP="00C94D25">
      <w:pPr>
        <w:spacing w:before="100" w:beforeAutospacing="1" w:after="180" w:line="240" w:lineRule="auto"/>
        <w:rPr>
          <w:rFonts w:ascii="Arial" w:eastAsia="Times New Roman" w:hAnsi="Arial" w:cs="Arial"/>
          <w:sz w:val="24"/>
          <w:szCs w:val="24"/>
        </w:rPr>
      </w:pPr>
      <w:r w:rsidRPr="00C94D25">
        <w:rPr>
          <w:rFonts w:ascii="Arial" w:eastAsia="Times New Roman" w:hAnsi="Arial" w:cs="Arial"/>
          <w:sz w:val="24"/>
          <w:szCs w:val="24"/>
        </w:rPr>
        <w:t>Full-time probationary teachers, currently employed by the Board, shall be reemployed for the succeeding academic year at the appropriate salary unless the Board does not renew the contract of such teacher pursuant to law.</w:t>
      </w:r>
    </w:p>
    <w:p w:rsidR="00C94D25" w:rsidRPr="00C94D25" w:rsidRDefault="00C94D25" w:rsidP="00C94D25">
      <w:pPr>
        <w:spacing w:before="100" w:beforeAutospacing="1" w:after="180" w:line="240" w:lineRule="auto"/>
        <w:rPr>
          <w:rFonts w:ascii="Arial" w:eastAsia="Times New Roman" w:hAnsi="Arial" w:cs="Arial"/>
          <w:sz w:val="24"/>
          <w:szCs w:val="24"/>
        </w:rPr>
      </w:pPr>
      <w:r w:rsidRPr="00C94D25">
        <w:rPr>
          <w:rFonts w:ascii="Arial" w:eastAsia="Times New Roman" w:hAnsi="Arial" w:cs="Arial"/>
          <w:sz w:val="24"/>
          <w:szCs w:val="24"/>
        </w:rPr>
        <w:t>The superintendent shall be authorized to suspend with pay or place on administrative leave a professional staff member as a disciplinary measure and/or pending an internal investigation when a professional staff member is accused of serious misconduct. The superintendent shall report all such suspensions to the Board at its next meeting and shall make a recommendation if further disciplinary action is warranted.</w:t>
      </w:r>
    </w:p>
    <w:p w:rsidR="00C94D25" w:rsidRPr="00C94D25" w:rsidRDefault="00C94D25" w:rsidP="00C94D25">
      <w:pPr>
        <w:spacing w:before="100" w:beforeAutospacing="1" w:after="180" w:line="240" w:lineRule="auto"/>
        <w:rPr>
          <w:rFonts w:ascii="Arial" w:eastAsia="Times New Roman" w:hAnsi="Arial" w:cs="Arial"/>
          <w:sz w:val="24"/>
          <w:szCs w:val="24"/>
        </w:rPr>
      </w:pPr>
      <w:r w:rsidRPr="00C94D25">
        <w:rPr>
          <w:rFonts w:ascii="Arial" w:eastAsia="Times New Roman" w:hAnsi="Arial" w:cs="Arial"/>
          <w:sz w:val="24"/>
          <w:szCs w:val="24"/>
        </w:rPr>
        <w:t>A teacher shall not be subject to any disciplinary proceeding including dismissal for actions which were in good faith and in compliance with the district's discipline code, nor shall a contract nonrenewal be based on such lawful actions.</w:t>
      </w:r>
    </w:p>
    <w:p w:rsidR="00C94D25" w:rsidRPr="00C94D25" w:rsidRDefault="00C94D25" w:rsidP="00C94D25">
      <w:pPr>
        <w:spacing w:before="100" w:beforeAutospacing="1" w:after="180" w:line="240" w:lineRule="auto"/>
        <w:rPr>
          <w:rFonts w:ascii="Arial" w:eastAsia="Times New Roman" w:hAnsi="Arial" w:cs="Arial"/>
          <w:sz w:val="24"/>
          <w:szCs w:val="24"/>
        </w:rPr>
      </w:pPr>
      <w:r w:rsidRPr="00C94D25">
        <w:rPr>
          <w:rFonts w:ascii="Arial" w:eastAsia="Times New Roman" w:hAnsi="Arial" w:cs="Arial"/>
          <w:sz w:val="24"/>
          <w:szCs w:val="24"/>
        </w:rPr>
        <w:t>The district shall not obtain consumer credit reports on a current employee unless the district is evaluating the employee for promotion, reassignment or retention. In all cases where credit information or reports are obtained and/or relied upon for purposes of reassigning, terminating or denying the promotion of an employee, the district shall comply with the Fair Credit Reporting Act and applicable state law.</w:t>
      </w:r>
    </w:p>
    <w:p w:rsidR="00C94D25" w:rsidRPr="00C94D25" w:rsidRDefault="00C94D25" w:rsidP="00C94D25">
      <w:pPr>
        <w:spacing w:before="100" w:beforeAutospacing="1" w:after="180" w:line="240" w:lineRule="auto"/>
        <w:rPr>
          <w:rFonts w:ascii="Arial" w:eastAsia="Times New Roman" w:hAnsi="Arial" w:cs="Arial"/>
          <w:sz w:val="24"/>
          <w:szCs w:val="24"/>
        </w:rPr>
      </w:pPr>
      <w:r w:rsidRPr="00C94D25">
        <w:rPr>
          <w:rFonts w:ascii="Arial" w:eastAsia="Times New Roman" w:hAnsi="Arial" w:cs="Arial"/>
          <w:sz w:val="24"/>
          <w:szCs w:val="24"/>
        </w:rPr>
        <w:t>The district shall comply with the mandatory reporting requirements concerning allegations of unlawful behavior involving a child and other offenses, in accordance with state law and the regulation accompanying this policy.</w:t>
      </w:r>
    </w:p>
    <w:p w:rsidR="00C94D25" w:rsidRDefault="00914C06" w:rsidP="00914C06">
      <w:pPr>
        <w:spacing w:before="100" w:after="0" w:line="240" w:lineRule="auto"/>
        <w:jc w:val="both"/>
        <w:rPr>
          <w:rFonts w:ascii="Arial" w:eastAsia="Times New Roman" w:hAnsi="Arial" w:cs="Arial"/>
          <w:sz w:val="24"/>
          <w:szCs w:val="24"/>
        </w:rPr>
      </w:pPr>
      <w:r>
        <w:rPr>
          <w:rFonts w:ascii="Arial" w:eastAsia="Times New Roman" w:hAnsi="Arial" w:cs="Arial"/>
          <w:sz w:val="24"/>
          <w:szCs w:val="24"/>
        </w:rPr>
        <w:t>Adopted:  April 1991</w:t>
      </w:r>
    </w:p>
    <w:p w:rsidR="00914C06" w:rsidRDefault="00914C06" w:rsidP="00914C06">
      <w:pPr>
        <w:spacing w:before="100" w:after="0" w:line="240" w:lineRule="auto"/>
        <w:jc w:val="both"/>
        <w:rPr>
          <w:rFonts w:ascii="Arial" w:eastAsia="Times New Roman" w:hAnsi="Arial" w:cs="Arial"/>
          <w:sz w:val="24"/>
          <w:szCs w:val="24"/>
        </w:rPr>
      </w:pPr>
      <w:r>
        <w:rPr>
          <w:rFonts w:ascii="Arial" w:eastAsia="Times New Roman" w:hAnsi="Arial" w:cs="Arial"/>
          <w:sz w:val="24"/>
          <w:szCs w:val="24"/>
        </w:rPr>
        <w:t>Revised:  May 1997</w:t>
      </w:r>
    </w:p>
    <w:p w:rsidR="00914C06" w:rsidRDefault="00914C06" w:rsidP="00914C06">
      <w:pPr>
        <w:spacing w:before="100" w:after="0" w:line="240" w:lineRule="auto"/>
        <w:jc w:val="both"/>
        <w:rPr>
          <w:rFonts w:ascii="Arial" w:eastAsia="Times New Roman" w:hAnsi="Arial" w:cs="Arial"/>
          <w:sz w:val="24"/>
          <w:szCs w:val="24"/>
        </w:rPr>
      </w:pPr>
      <w:r>
        <w:rPr>
          <w:rFonts w:ascii="Arial" w:eastAsia="Times New Roman" w:hAnsi="Arial" w:cs="Arial"/>
          <w:sz w:val="24"/>
          <w:szCs w:val="24"/>
        </w:rPr>
        <w:tab/>
        <w:t xml:space="preserve">     February 2001</w:t>
      </w:r>
    </w:p>
    <w:p w:rsidR="00914C06" w:rsidRPr="00C94D25" w:rsidRDefault="00914C06" w:rsidP="00914C06">
      <w:pPr>
        <w:spacing w:before="100" w:after="0" w:line="240" w:lineRule="auto"/>
        <w:jc w:val="both"/>
        <w:rPr>
          <w:rFonts w:ascii="Arial" w:eastAsia="Times New Roman" w:hAnsi="Arial" w:cs="Arial"/>
          <w:sz w:val="24"/>
          <w:szCs w:val="24"/>
        </w:rPr>
      </w:pPr>
      <w:r>
        <w:rPr>
          <w:rFonts w:ascii="Arial" w:eastAsia="Times New Roman" w:hAnsi="Arial" w:cs="Arial"/>
          <w:sz w:val="24"/>
          <w:szCs w:val="24"/>
        </w:rPr>
        <w:tab/>
        <w:t xml:space="preserve">     November 2013</w:t>
      </w:r>
    </w:p>
    <w:p w:rsidR="00C94D25" w:rsidRPr="00C94D25" w:rsidRDefault="00C94D25" w:rsidP="00C94D25">
      <w:pPr>
        <w:spacing w:before="180" w:after="100" w:afterAutospacing="1" w:line="240" w:lineRule="auto"/>
        <w:rPr>
          <w:rFonts w:ascii="Arial" w:eastAsia="Times New Roman" w:hAnsi="Arial" w:cs="Arial"/>
          <w:sz w:val="24"/>
          <w:szCs w:val="24"/>
        </w:rPr>
      </w:pPr>
      <w:r w:rsidRPr="00C94D25">
        <w:rPr>
          <w:rFonts w:ascii="Arial" w:eastAsia="Times New Roman" w:hAnsi="Arial" w:cs="Arial"/>
          <w:sz w:val="24"/>
          <w:szCs w:val="24"/>
        </w:rPr>
        <w:t xml:space="preserve">LEGAL </w:t>
      </w:r>
      <w:proofErr w:type="gramStart"/>
      <w:r w:rsidRPr="00C94D25">
        <w:rPr>
          <w:rFonts w:ascii="Arial" w:eastAsia="Times New Roman" w:hAnsi="Arial" w:cs="Arial"/>
          <w:sz w:val="24"/>
          <w:szCs w:val="24"/>
        </w:rPr>
        <w:t>REFS.:</w:t>
      </w:r>
      <w:proofErr w:type="gramEnd"/>
      <w:r w:rsidRPr="00C94D25">
        <w:rPr>
          <w:rFonts w:ascii="Arial" w:eastAsia="Times New Roman" w:hAnsi="Arial" w:cs="Arial"/>
          <w:sz w:val="24"/>
          <w:szCs w:val="24"/>
        </w:rPr>
        <w:t>  15 U.S.C. 1681 et seq. (Fair Credit Reporting Act)</w:t>
      </w:r>
    </w:p>
    <w:p w:rsidR="00C94D25" w:rsidRPr="00C94D25" w:rsidRDefault="00C94D25" w:rsidP="00C94D25">
      <w:pPr>
        <w:spacing w:before="100" w:beforeAutospacing="1" w:after="100" w:afterAutospacing="1" w:line="240" w:lineRule="auto"/>
        <w:ind w:left="2440"/>
        <w:rPr>
          <w:rFonts w:ascii="Arial" w:eastAsia="Times New Roman" w:hAnsi="Arial" w:cs="Arial"/>
          <w:sz w:val="24"/>
          <w:szCs w:val="24"/>
        </w:rPr>
      </w:pPr>
      <w:bookmarkStart w:id="2" w:name="705"/>
      <w:r w:rsidRPr="00C94D25">
        <w:rPr>
          <w:rFonts w:ascii="Arial" w:eastAsia="Times New Roman" w:hAnsi="Arial" w:cs="Arial"/>
          <w:sz w:val="24"/>
          <w:szCs w:val="24"/>
        </w:rPr>
        <w:t xml:space="preserve">C.R.S. </w:t>
      </w:r>
      <w:bookmarkEnd w:id="2"/>
      <w:r w:rsidRPr="00C94D25">
        <w:rPr>
          <w:rFonts w:ascii="Arial" w:eastAsia="Times New Roman" w:hAnsi="Arial" w:cs="Arial"/>
          <w:sz w:val="24"/>
          <w:szCs w:val="24"/>
        </w:rPr>
        <w:fldChar w:fldCharType="begin"/>
      </w:r>
      <w:r w:rsidRPr="00C94D25">
        <w:rPr>
          <w:rFonts w:ascii="Arial" w:eastAsia="Times New Roman" w:hAnsi="Arial" w:cs="Arial"/>
          <w:sz w:val="24"/>
          <w:szCs w:val="24"/>
        </w:rPr>
        <w:instrText xml:space="preserve"> HYPERLINK "http://www.lpdirect.net/casb/crs/8-2-126.html" \t "_blank" </w:instrText>
      </w:r>
      <w:r w:rsidRPr="00C94D25">
        <w:rPr>
          <w:rFonts w:ascii="Arial" w:eastAsia="Times New Roman" w:hAnsi="Arial" w:cs="Arial"/>
          <w:sz w:val="24"/>
          <w:szCs w:val="24"/>
        </w:rPr>
        <w:fldChar w:fldCharType="separate"/>
      </w:r>
      <w:r w:rsidRPr="00C94D25">
        <w:rPr>
          <w:rFonts w:ascii="Arial" w:eastAsia="Times New Roman" w:hAnsi="Arial" w:cs="Arial"/>
          <w:color w:val="0000FF"/>
          <w:sz w:val="24"/>
          <w:szCs w:val="24"/>
          <w:u w:val="single"/>
        </w:rPr>
        <w:t>8-2-126</w:t>
      </w:r>
      <w:r w:rsidRPr="00C94D25">
        <w:rPr>
          <w:rFonts w:ascii="Arial" w:eastAsia="Times New Roman" w:hAnsi="Arial" w:cs="Arial"/>
          <w:sz w:val="24"/>
          <w:szCs w:val="24"/>
        </w:rPr>
        <w:fldChar w:fldCharType="end"/>
      </w:r>
      <w:r w:rsidRPr="00C94D25">
        <w:rPr>
          <w:rFonts w:ascii="Arial" w:eastAsia="Times New Roman" w:hAnsi="Arial" w:cs="Arial"/>
          <w:sz w:val="24"/>
          <w:szCs w:val="24"/>
        </w:rPr>
        <w:t xml:space="preserve"> (limits employers' use of consumer credit information)</w:t>
      </w:r>
    </w:p>
    <w:p w:rsidR="00C94D25" w:rsidRPr="00C94D25" w:rsidRDefault="00C94D25" w:rsidP="00C94D25">
      <w:pPr>
        <w:spacing w:before="100" w:beforeAutospacing="1" w:after="100" w:afterAutospacing="1" w:line="240" w:lineRule="auto"/>
        <w:ind w:left="2440"/>
        <w:rPr>
          <w:rFonts w:ascii="Arial" w:eastAsia="Times New Roman" w:hAnsi="Arial" w:cs="Arial"/>
          <w:sz w:val="24"/>
          <w:szCs w:val="24"/>
        </w:rPr>
      </w:pPr>
      <w:r w:rsidRPr="00C94D25">
        <w:rPr>
          <w:rFonts w:ascii="Arial" w:eastAsia="Times New Roman" w:hAnsi="Arial" w:cs="Arial"/>
          <w:sz w:val="24"/>
          <w:szCs w:val="24"/>
        </w:rPr>
        <w:t xml:space="preserve">C.R.S. </w:t>
      </w:r>
      <w:hyperlink r:id="rId7" w:tgtFrame="_blank" w:history="1">
        <w:r w:rsidRPr="00C94D25">
          <w:rPr>
            <w:rFonts w:ascii="Arial" w:eastAsia="Times New Roman" w:hAnsi="Arial" w:cs="Arial"/>
            <w:color w:val="0000FF"/>
            <w:sz w:val="24"/>
            <w:szCs w:val="24"/>
            <w:u w:val="single"/>
          </w:rPr>
          <w:t>19-3-301</w:t>
        </w:r>
      </w:hyperlink>
      <w:r w:rsidRPr="00C94D25">
        <w:rPr>
          <w:rFonts w:ascii="Arial" w:eastAsia="Times New Roman" w:hAnsi="Arial" w:cs="Arial"/>
          <w:sz w:val="24"/>
          <w:szCs w:val="24"/>
        </w:rPr>
        <w:t xml:space="preserve"> et seq. (Child Protection Act of 1987)</w:t>
      </w:r>
    </w:p>
    <w:p w:rsidR="00C94D25" w:rsidRPr="00C94D25" w:rsidRDefault="00C94D25" w:rsidP="00C94D25">
      <w:pPr>
        <w:spacing w:before="100" w:beforeAutospacing="1" w:after="100" w:afterAutospacing="1" w:line="240" w:lineRule="auto"/>
        <w:ind w:left="2440"/>
        <w:rPr>
          <w:rFonts w:ascii="Arial" w:eastAsia="Times New Roman" w:hAnsi="Arial" w:cs="Arial"/>
          <w:sz w:val="24"/>
          <w:szCs w:val="24"/>
        </w:rPr>
      </w:pPr>
      <w:r w:rsidRPr="00C94D25">
        <w:rPr>
          <w:rFonts w:ascii="Arial" w:eastAsia="Times New Roman" w:hAnsi="Arial" w:cs="Arial"/>
          <w:sz w:val="24"/>
          <w:szCs w:val="24"/>
        </w:rPr>
        <w:lastRenderedPageBreak/>
        <w:t xml:space="preserve">C.R.S. </w:t>
      </w:r>
      <w:hyperlink r:id="rId8" w:tgtFrame="_blank" w:history="1">
        <w:r w:rsidRPr="00C94D25">
          <w:rPr>
            <w:rFonts w:ascii="Arial" w:eastAsia="Times New Roman" w:hAnsi="Arial" w:cs="Arial"/>
            <w:color w:val="0000FF"/>
            <w:sz w:val="24"/>
            <w:szCs w:val="24"/>
            <w:u w:val="single"/>
          </w:rPr>
          <w:t>22-2-119</w:t>
        </w:r>
      </w:hyperlink>
      <w:r w:rsidRPr="00C94D25">
        <w:rPr>
          <w:rFonts w:ascii="Arial" w:eastAsia="Times New Roman" w:hAnsi="Arial" w:cs="Arial"/>
          <w:sz w:val="24"/>
          <w:szCs w:val="24"/>
        </w:rPr>
        <w:t xml:space="preserve"> (duty to make inquiries prior to hiring)</w:t>
      </w:r>
    </w:p>
    <w:p w:rsidR="00C94D25" w:rsidRPr="00C94D25" w:rsidRDefault="00C94D25" w:rsidP="00C94D25">
      <w:pPr>
        <w:spacing w:before="100" w:beforeAutospacing="1" w:after="100" w:afterAutospacing="1" w:line="240" w:lineRule="auto"/>
        <w:ind w:left="2440"/>
        <w:rPr>
          <w:rFonts w:ascii="Arial" w:eastAsia="Times New Roman" w:hAnsi="Arial" w:cs="Arial"/>
          <w:sz w:val="24"/>
          <w:szCs w:val="24"/>
        </w:rPr>
      </w:pPr>
      <w:r w:rsidRPr="00C94D25">
        <w:rPr>
          <w:rFonts w:ascii="Arial" w:eastAsia="Times New Roman" w:hAnsi="Arial" w:cs="Arial"/>
          <w:sz w:val="24"/>
          <w:szCs w:val="24"/>
        </w:rPr>
        <w:t xml:space="preserve">C.R.S. </w:t>
      </w:r>
      <w:hyperlink r:id="rId9" w:tgtFrame="_blank" w:history="1">
        <w:r w:rsidRPr="00C94D25">
          <w:rPr>
            <w:rFonts w:ascii="Arial" w:eastAsia="Times New Roman" w:hAnsi="Arial" w:cs="Arial"/>
            <w:color w:val="0000FF"/>
            <w:sz w:val="24"/>
            <w:szCs w:val="24"/>
            <w:u w:val="single"/>
          </w:rPr>
          <w:t>22-32-109.1</w:t>
        </w:r>
      </w:hyperlink>
      <w:r w:rsidRPr="00C94D25">
        <w:rPr>
          <w:rFonts w:ascii="Arial" w:eastAsia="Times New Roman" w:hAnsi="Arial" w:cs="Arial"/>
          <w:sz w:val="24"/>
          <w:szCs w:val="24"/>
        </w:rPr>
        <w:t xml:space="preserve"> (9) (immunity provisions in safe schools law)</w:t>
      </w:r>
    </w:p>
    <w:p w:rsidR="00C94D25" w:rsidRPr="00C94D25" w:rsidRDefault="00C94D25" w:rsidP="00C94D25">
      <w:pPr>
        <w:spacing w:before="100" w:beforeAutospacing="1" w:after="100" w:afterAutospacing="1" w:line="240" w:lineRule="auto"/>
        <w:ind w:left="2440"/>
        <w:rPr>
          <w:rFonts w:ascii="Arial" w:eastAsia="Times New Roman" w:hAnsi="Arial" w:cs="Arial"/>
          <w:sz w:val="24"/>
          <w:szCs w:val="24"/>
        </w:rPr>
      </w:pPr>
      <w:r w:rsidRPr="00C94D25">
        <w:rPr>
          <w:rFonts w:ascii="Arial" w:eastAsia="Times New Roman" w:hAnsi="Arial" w:cs="Arial"/>
          <w:sz w:val="24"/>
          <w:szCs w:val="24"/>
        </w:rPr>
        <w:t xml:space="preserve">C.R.S. </w:t>
      </w:r>
      <w:hyperlink r:id="rId10" w:tgtFrame="_blank" w:history="1">
        <w:r w:rsidRPr="00C94D25">
          <w:rPr>
            <w:rFonts w:ascii="Arial" w:eastAsia="Times New Roman" w:hAnsi="Arial" w:cs="Arial"/>
            <w:color w:val="0000FF"/>
            <w:sz w:val="24"/>
            <w:szCs w:val="24"/>
            <w:u w:val="single"/>
          </w:rPr>
          <w:t>22-32-109.7</w:t>
        </w:r>
      </w:hyperlink>
      <w:r w:rsidRPr="00C94D25">
        <w:rPr>
          <w:rFonts w:ascii="Arial" w:eastAsia="Times New Roman" w:hAnsi="Arial" w:cs="Arial"/>
          <w:sz w:val="24"/>
          <w:szCs w:val="24"/>
        </w:rPr>
        <w:t xml:space="preserve"> (specific duties regarding hiring inquiries and reporting)</w:t>
      </w:r>
    </w:p>
    <w:p w:rsidR="00C94D25" w:rsidRPr="00C94D25" w:rsidRDefault="00C94D25" w:rsidP="00C94D25">
      <w:pPr>
        <w:spacing w:before="100" w:beforeAutospacing="1" w:after="100" w:afterAutospacing="1" w:line="240" w:lineRule="auto"/>
        <w:ind w:left="2440"/>
        <w:rPr>
          <w:rFonts w:ascii="Arial" w:eastAsia="Times New Roman" w:hAnsi="Arial" w:cs="Arial"/>
          <w:sz w:val="24"/>
          <w:szCs w:val="24"/>
        </w:rPr>
      </w:pPr>
      <w:r w:rsidRPr="00C94D25">
        <w:rPr>
          <w:rFonts w:ascii="Arial" w:eastAsia="Times New Roman" w:hAnsi="Arial" w:cs="Arial"/>
          <w:sz w:val="24"/>
          <w:szCs w:val="24"/>
        </w:rPr>
        <w:t xml:space="preserve">C.R.S. </w:t>
      </w:r>
      <w:hyperlink r:id="rId11" w:tgtFrame="_blank" w:history="1">
        <w:r w:rsidRPr="00C94D25">
          <w:rPr>
            <w:rFonts w:ascii="Arial" w:eastAsia="Times New Roman" w:hAnsi="Arial" w:cs="Arial"/>
            <w:color w:val="0000FF"/>
            <w:sz w:val="24"/>
            <w:szCs w:val="24"/>
            <w:u w:val="single"/>
          </w:rPr>
          <w:t>22-63-202</w:t>
        </w:r>
      </w:hyperlink>
      <w:r w:rsidRPr="00C94D25">
        <w:rPr>
          <w:rFonts w:ascii="Arial" w:eastAsia="Times New Roman" w:hAnsi="Arial" w:cs="Arial"/>
          <w:sz w:val="24"/>
          <w:szCs w:val="24"/>
        </w:rPr>
        <w:t xml:space="preserve"> (3) (temporary suspension during contract period)</w:t>
      </w:r>
    </w:p>
    <w:p w:rsidR="00C94D25" w:rsidRPr="00C94D25" w:rsidRDefault="00C94D25" w:rsidP="00C94D25">
      <w:pPr>
        <w:spacing w:before="100" w:beforeAutospacing="1" w:after="100" w:afterAutospacing="1" w:line="240" w:lineRule="auto"/>
        <w:ind w:left="2440"/>
        <w:rPr>
          <w:rFonts w:ascii="Arial" w:eastAsia="Times New Roman" w:hAnsi="Arial" w:cs="Arial"/>
          <w:sz w:val="24"/>
          <w:szCs w:val="24"/>
        </w:rPr>
      </w:pPr>
      <w:r w:rsidRPr="00C94D25">
        <w:rPr>
          <w:rFonts w:ascii="Arial" w:eastAsia="Times New Roman" w:hAnsi="Arial" w:cs="Arial"/>
          <w:sz w:val="24"/>
          <w:szCs w:val="24"/>
        </w:rPr>
        <w:t xml:space="preserve">C.R.S. </w:t>
      </w:r>
      <w:hyperlink r:id="rId12" w:tgtFrame="_blank" w:history="1">
        <w:r w:rsidRPr="00C94D25">
          <w:rPr>
            <w:rFonts w:ascii="Arial" w:eastAsia="Times New Roman" w:hAnsi="Arial" w:cs="Arial"/>
            <w:color w:val="0000FF"/>
            <w:sz w:val="24"/>
            <w:szCs w:val="24"/>
            <w:u w:val="single"/>
          </w:rPr>
          <w:t>22-63-202</w:t>
        </w:r>
      </w:hyperlink>
      <w:r w:rsidRPr="00C94D25">
        <w:rPr>
          <w:rFonts w:ascii="Arial" w:eastAsia="Times New Roman" w:hAnsi="Arial" w:cs="Arial"/>
          <w:sz w:val="24"/>
          <w:szCs w:val="24"/>
        </w:rPr>
        <w:t xml:space="preserve"> (4) (disclosure of reasons why left employment)</w:t>
      </w:r>
    </w:p>
    <w:p w:rsidR="00C94D25" w:rsidRPr="00C94D25" w:rsidRDefault="00C94D25" w:rsidP="00C94D25">
      <w:pPr>
        <w:spacing w:before="100" w:beforeAutospacing="1" w:after="100" w:afterAutospacing="1" w:line="240" w:lineRule="auto"/>
        <w:ind w:left="2440"/>
        <w:rPr>
          <w:rFonts w:ascii="Arial" w:eastAsia="Times New Roman" w:hAnsi="Arial" w:cs="Arial"/>
          <w:sz w:val="24"/>
          <w:szCs w:val="24"/>
        </w:rPr>
      </w:pPr>
      <w:r w:rsidRPr="00C94D25">
        <w:rPr>
          <w:rFonts w:ascii="Arial" w:eastAsia="Times New Roman" w:hAnsi="Arial" w:cs="Arial"/>
          <w:sz w:val="24"/>
          <w:szCs w:val="24"/>
        </w:rPr>
        <w:t xml:space="preserve">C.R.S. </w:t>
      </w:r>
      <w:hyperlink r:id="rId13" w:tgtFrame="_blank" w:history="1">
        <w:r w:rsidRPr="00C94D25">
          <w:rPr>
            <w:rFonts w:ascii="Arial" w:eastAsia="Times New Roman" w:hAnsi="Arial" w:cs="Arial"/>
            <w:color w:val="0000FF"/>
            <w:sz w:val="24"/>
            <w:szCs w:val="24"/>
            <w:u w:val="single"/>
          </w:rPr>
          <w:t>22-63-203</w:t>
        </w:r>
      </w:hyperlink>
      <w:r w:rsidRPr="00C94D25">
        <w:rPr>
          <w:rFonts w:ascii="Arial" w:eastAsia="Times New Roman" w:hAnsi="Arial" w:cs="Arial"/>
          <w:sz w:val="24"/>
          <w:szCs w:val="24"/>
        </w:rPr>
        <w:t xml:space="preserve"> (renewal and non-renewal of probationary teacher contracts)</w:t>
      </w:r>
    </w:p>
    <w:p w:rsidR="00C94D25" w:rsidRPr="00C94D25" w:rsidRDefault="00C94D25" w:rsidP="00C94D25">
      <w:pPr>
        <w:spacing w:before="100" w:beforeAutospacing="1" w:after="100" w:afterAutospacing="1" w:line="240" w:lineRule="auto"/>
        <w:ind w:left="2440"/>
        <w:rPr>
          <w:rFonts w:ascii="Arial" w:eastAsia="Times New Roman" w:hAnsi="Arial" w:cs="Arial"/>
          <w:sz w:val="24"/>
          <w:szCs w:val="24"/>
        </w:rPr>
      </w:pPr>
      <w:r w:rsidRPr="00C94D25">
        <w:rPr>
          <w:rFonts w:ascii="Arial" w:eastAsia="Times New Roman" w:hAnsi="Arial" w:cs="Arial"/>
          <w:sz w:val="24"/>
          <w:szCs w:val="24"/>
        </w:rPr>
        <w:t xml:space="preserve">C.R.S. </w:t>
      </w:r>
      <w:hyperlink r:id="rId14" w:tgtFrame="_blank" w:history="1">
        <w:r w:rsidRPr="00C94D25">
          <w:rPr>
            <w:rFonts w:ascii="Arial" w:eastAsia="Times New Roman" w:hAnsi="Arial" w:cs="Arial"/>
            <w:color w:val="0000FF"/>
            <w:sz w:val="24"/>
            <w:szCs w:val="24"/>
            <w:u w:val="single"/>
          </w:rPr>
          <w:t>22-63-301</w:t>
        </w:r>
      </w:hyperlink>
      <w:r w:rsidRPr="00C94D25">
        <w:rPr>
          <w:rFonts w:ascii="Arial" w:eastAsia="Times New Roman" w:hAnsi="Arial" w:cs="Arial"/>
          <w:sz w:val="24"/>
          <w:szCs w:val="24"/>
        </w:rPr>
        <w:t xml:space="preserve"> et seq. (dismissal of licensed staff)</w:t>
      </w:r>
    </w:p>
    <w:p w:rsidR="00C94D25" w:rsidRPr="00C94D25" w:rsidRDefault="00C94D25" w:rsidP="00C94D25">
      <w:pPr>
        <w:spacing w:before="100" w:beforeAutospacing="1" w:after="100" w:afterAutospacing="1" w:line="240" w:lineRule="auto"/>
        <w:ind w:left="2440"/>
        <w:rPr>
          <w:rFonts w:ascii="Arial" w:eastAsia="Times New Roman" w:hAnsi="Arial" w:cs="Arial"/>
          <w:sz w:val="24"/>
          <w:szCs w:val="24"/>
        </w:rPr>
      </w:pPr>
      <w:r w:rsidRPr="00C94D25">
        <w:rPr>
          <w:rFonts w:ascii="Arial" w:eastAsia="Times New Roman" w:hAnsi="Arial" w:cs="Arial"/>
          <w:sz w:val="24"/>
          <w:szCs w:val="24"/>
        </w:rPr>
        <w:t xml:space="preserve">1 CCR </w:t>
      </w:r>
      <w:hyperlink r:id="rId15" w:tgtFrame="_blank" w:history="1">
        <w:r w:rsidRPr="00C94D25">
          <w:rPr>
            <w:rFonts w:ascii="Arial" w:eastAsia="Times New Roman" w:hAnsi="Arial" w:cs="Arial"/>
            <w:color w:val="0000FF"/>
            <w:sz w:val="24"/>
            <w:szCs w:val="24"/>
            <w:u w:val="single"/>
          </w:rPr>
          <w:t>301-37</w:t>
        </w:r>
      </w:hyperlink>
      <w:r w:rsidRPr="00C94D25">
        <w:rPr>
          <w:rFonts w:ascii="Arial" w:eastAsia="Times New Roman" w:hAnsi="Arial" w:cs="Arial"/>
          <w:sz w:val="24"/>
          <w:szCs w:val="24"/>
        </w:rPr>
        <w:t>, Rules 2260.5-R-15.00 et seq. (mandatory reporting requirements)</w:t>
      </w:r>
    </w:p>
    <w:p w:rsidR="00C94D25" w:rsidRPr="00C94D25" w:rsidRDefault="00C94D25" w:rsidP="00C94D25">
      <w:pPr>
        <w:spacing w:before="180" w:after="100" w:afterAutospacing="1" w:line="240" w:lineRule="auto"/>
        <w:rPr>
          <w:rFonts w:ascii="Arial" w:eastAsia="Times New Roman" w:hAnsi="Arial" w:cs="Arial"/>
          <w:sz w:val="24"/>
          <w:szCs w:val="24"/>
        </w:rPr>
      </w:pPr>
      <w:r w:rsidRPr="00C94D25">
        <w:rPr>
          <w:rFonts w:ascii="Arial" w:eastAsia="Times New Roman" w:hAnsi="Arial" w:cs="Arial"/>
          <w:sz w:val="24"/>
          <w:szCs w:val="24"/>
        </w:rPr>
        <w:t xml:space="preserve">CROSS REF.:  </w:t>
      </w:r>
      <w:hyperlink r:id="rId16" w:anchor="JD_GBG" w:history="1">
        <w:r w:rsidRPr="00C94D25">
          <w:rPr>
            <w:rFonts w:ascii="Arial" w:eastAsia="Times New Roman" w:hAnsi="Arial" w:cs="Arial"/>
            <w:color w:val="0000FF"/>
            <w:sz w:val="24"/>
            <w:szCs w:val="24"/>
            <w:u w:val="single"/>
          </w:rPr>
          <w:t>GBG</w:t>
        </w:r>
      </w:hyperlink>
      <w:r w:rsidRPr="00C94D25">
        <w:rPr>
          <w:rFonts w:ascii="Arial" w:eastAsia="Times New Roman" w:hAnsi="Arial" w:cs="Arial"/>
          <w:sz w:val="24"/>
          <w:szCs w:val="24"/>
        </w:rPr>
        <w:t>, Liability of School Personnel/Staff Protection</w:t>
      </w:r>
    </w:p>
    <w:sectPr w:rsidR="00C94D25" w:rsidRPr="00C94D25">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67D" w:rsidRDefault="0083767D" w:rsidP="00773AEF">
      <w:pPr>
        <w:spacing w:after="0" w:line="240" w:lineRule="auto"/>
      </w:pPr>
      <w:r>
        <w:separator/>
      </w:r>
    </w:p>
  </w:endnote>
  <w:endnote w:type="continuationSeparator" w:id="0">
    <w:p w:rsidR="0083767D" w:rsidRDefault="0083767D" w:rsidP="00773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439701"/>
      <w:docPartObj>
        <w:docPartGallery w:val="Page Numbers (Bottom of Page)"/>
        <w:docPartUnique/>
      </w:docPartObj>
    </w:sdtPr>
    <w:sdtEndPr>
      <w:rPr>
        <w:noProof/>
      </w:rPr>
    </w:sdtEndPr>
    <w:sdtContent>
      <w:p w:rsidR="00773AEF" w:rsidRDefault="00773AEF">
        <w:pPr>
          <w:pStyle w:val="Footer"/>
          <w:jc w:val="right"/>
        </w:pPr>
        <w:r>
          <w:fldChar w:fldCharType="begin"/>
        </w:r>
        <w:r>
          <w:instrText xml:space="preserve"> PAGE   \* MERGEFORMAT </w:instrText>
        </w:r>
        <w:r>
          <w:fldChar w:fldCharType="separate"/>
        </w:r>
        <w:r w:rsidR="00AF3746">
          <w:rPr>
            <w:noProof/>
          </w:rPr>
          <w:t>2</w:t>
        </w:r>
        <w:r>
          <w:rPr>
            <w:noProof/>
          </w:rPr>
          <w:fldChar w:fldCharType="end"/>
        </w:r>
        <w:r>
          <w:rPr>
            <w:noProof/>
          </w:rPr>
          <w:t xml:space="preserve"> of 2</w:t>
        </w:r>
      </w:p>
    </w:sdtContent>
  </w:sdt>
  <w:p w:rsidR="00773AEF" w:rsidRDefault="00773AEF">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67D" w:rsidRDefault="0083767D" w:rsidP="00773AEF">
      <w:pPr>
        <w:spacing w:after="0" w:line="240" w:lineRule="auto"/>
      </w:pPr>
      <w:r>
        <w:separator/>
      </w:r>
    </w:p>
  </w:footnote>
  <w:footnote w:type="continuationSeparator" w:id="0">
    <w:p w:rsidR="0083767D" w:rsidRDefault="0083767D" w:rsidP="00773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AEF" w:rsidRDefault="00773AEF">
    <w:pPr>
      <w:pStyle w:val="Header"/>
    </w:pPr>
    <w:r>
      <w:tab/>
    </w:r>
    <w:r>
      <w:tab/>
      <w:t>File:  GCQF</w:t>
    </w:r>
  </w:p>
  <w:p w:rsidR="00773AEF" w:rsidRDefault="00773A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25"/>
    <w:rsid w:val="00121149"/>
    <w:rsid w:val="00281079"/>
    <w:rsid w:val="00773AEF"/>
    <w:rsid w:val="0083767D"/>
    <w:rsid w:val="00914C06"/>
    <w:rsid w:val="00AF3746"/>
    <w:rsid w:val="00C263E3"/>
    <w:rsid w:val="00C94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25"/>
    <w:rPr>
      <w:rFonts w:ascii="Tahoma" w:hAnsi="Tahoma" w:cs="Tahoma"/>
      <w:sz w:val="16"/>
      <w:szCs w:val="16"/>
    </w:rPr>
  </w:style>
  <w:style w:type="paragraph" w:styleId="Header">
    <w:name w:val="header"/>
    <w:basedOn w:val="Normal"/>
    <w:link w:val="HeaderChar"/>
    <w:uiPriority w:val="99"/>
    <w:unhideWhenUsed/>
    <w:rsid w:val="00773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AEF"/>
  </w:style>
  <w:style w:type="paragraph" w:styleId="Footer">
    <w:name w:val="footer"/>
    <w:basedOn w:val="Normal"/>
    <w:link w:val="FooterChar"/>
    <w:uiPriority w:val="99"/>
    <w:unhideWhenUsed/>
    <w:rsid w:val="00773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A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25"/>
    <w:rPr>
      <w:rFonts w:ascii="Tahoma" w:hAnsi="Tahoma" w:cs="Tahoma"/>
      <w:sz w:val="16"/>
      <w:szCs w:val="16"/>
    </w:rPr>
  </w:style>
  <w:style w:type="paragraph" w:styleId="Header">
    <w:name w:val="header"/>
    <w:basedOn w:val="Normal"/>
    <w:link w:val="HeaderChar"/>
    <w:uiPriority w:val="99"/>
    <w:unhideWhenUsed/>
    <w:rsid w:val="00773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AEF"/>
  </w:style>
  <w:style w:type="paragraph" w:styleId="Footer">
    <w:name w:val="footer"/>
    <w:basedOn w:val="Normal"/>
    <w:link w:val="FooterChar"/>
    <w:uiPriority w:val="99"/>
    <w:unhideWhenUsed/>
    <w:rsid w:val="00773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70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2-119.html" TargetMode="External"/><Relationship Id="rId13" Type="http://schemas.openxmlformats.org/officeDocument/2006/relationships/hyperlink" Target="http://www.lpdirect.net/casb/crs/22-63-203.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pdirect.net/casb/crs/19-3-301.html" TargetMode="External"/><Relationship Id="rId12" Type="http://schemas.openxmlformats.org/officeDocument/2006/relationships/hyperlink" Target="http://www.lpdirect.net/casb/crs/22-63-202.html"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z2.ctspublish.com/casb/DocViewer.jsp?docid=148&amp;z2collection=core" TargetMode="External"/><Relationship Id="rId20"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pdirect.net/casb/crs/22-63-202.html" TargetMode="External"/><Relationship Id="rId5" Type="http://schemas.openxmlformats.org/officeDocument/2006/relationships/footnotes" Target="footnotes.xml"/><Relationship Id="rId15" Type="http://schemas.openxmlformats.org/officeDocument/2006/relationships/hyperlink" Target="https://www.sos.state.co.us/CCR/NumericalCCRDocList.do?deptID=4&amp;deptName=300%20Department%20of%20Education&amp;agencyID=109&amp;agencyName=301%20Colorado%20State%20Board%20of%20Education" TargetMode="External"/><Relationship Id="rId10" Type="http://schemas.openxmlformats.org/officeDocument/2006/relationships/hyperlink" Target="http://www.lpdirect.net/casb/crs/22-32-109_7.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pdirect.net/casb/crs/22-32-109_1.html" TargetMode="External"/><Relationship Id="rId14" Type="http://schemas.openxmlformats.org/officeDocument/2006/relationships/hyperlink" Target="http://www.lpdirect.net/casb/crs/22-63-301.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2ED"/>
    <w:rsid w:val="00015B30"/>
    <w:rsid w:val="006C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52616D94E042C0B9D840ACFA263FC1">
    <w:name w:val="4C52616D94E042C0B9D840ACFA263FC1"/>
    <w:rsid w:val="006C62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52616D94E042C0B9D840ACFA263FC1">
    <w:name w:val="4C52616D94E042C0B9D840ACFA263FC1"/>
    <w:rsid w:val="006C62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5</cp:revision>
  <cp:lastPrinted>2016-07-18T19:40:00Z</cp:lastPrinted>
  <dcterms:created xsi:type="dcterms:W3CDTF">2016-06-15T20:21:00Z</dcterms:created>
  <dcterms:modified xsi:type="dcterms:W3CDTF">2016-07-18T20:10:00Z</dcterms:modified>
</cp:coreProperties>
</file>